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1480" w14:textId="35C6252E" w:rsidR="000C235F" w:rsidRDefault="000C235F" w:rsidP="000C235F">
      <w:pPr>
        <w:widowControl w:val="0"/>
        <w:spacing w:after="0" w:line="324" w:lineRule="auto"/>
        <w:jc w:val="center"/>
        <w:rPr>
          <w:rFonts w:ascii="Times New Roman" w:hAnsi="Times New Roman"/>
          <w:b/>
          <w:sz w:val="24"/>
          <w:szCs w:val="24"/>
        </w:rPr>
      </w:pPr>
      <w:r w:rsidRPr="002E1E96">
        <w:rPr>
          <w:rFonts w:ascii="Times New Roman" w:hAnsi="Times New Roman"/>
          <w:b/>
          <w:sz w:val="24"/>
          <w:szCs w:val="24"/>
        </w:rPr>
        <w:t>Требования к оформлению материалов</w:t>
      </w:r>
    </w:p>
    <w:p w14:paraId="36A158D4" w14:textId="77777777" w:rsidR="000C235F" w:rsidRPr="002E1E96" w:rsidRDefault="000C235F" w:rsidP="000C235F">
      <w:pPr>
        <w:widowControl w:val="0"/>
        <w:spacing w:after="0" w:line="32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7B1B12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 xml:space="preserve">Текст на русском языке. Объем </w:t>
      </w:r>
      <w:r w:rsidRPr="000C235F">
        <w:rPr>
          <w:rFonts w:ascii="Times New Roman" w:hAnsi="Times New Roman"/>
          <w:b/>
          <w:bCs/>
          <w:sz w:val="24"/>
          <w:szCs w:val="24"/>
        </w:rPr>
        <w:t>до 5 страниц</w:t>
      </w:r>
      <w:r w:rsidRPr="002E1E96">
        <w:rPr>
          <w:rFonts w:ascii="Times New Roman" w:hAnsi="Times New Roman"/>
          <w:sz w:val="24"/>
          <w:szCs w:val="24"/>
        </w:rPr>
        <w:t xml:space="preserve">, включая таблицы, рисунки, список литературы и источников. Формат страницы – А4, поля – 2 см, шрифт – Times New </w:t>
      </w:r>
      <w:proofErr w:type="spellStart"/>
      <w:r w:rsidRPr="002E1E96">
        <w:rPr>
          <w:rFonts w:ascii="Times New Roman" w:hAnsi="Times New Roman"/>
          <w:sz w:val="24"/>
          <w:szCs w:val="24"/>
        </w:rPr>
        <w:t>Roman</w:t>
      </w:r>
      <w:proofErr w:type="spellEnd"/>
      <w:r w:rsidRPr="002E1E96">
        <w:rPr>
          <w:rFonts w:ascii="Times New Roman" w:hAnsi="Times New Roman"/>
          <w:sz w:val="24"/>
          <w:szCs w:val="24"/>
        </w:rPr>
        <w:t xml:space="preserve"> (без стилей). Размер шрифта: основной текст – 14 пт., аннотация, ключевые слова, список литературы и подписи к иллюстрациям – 12 пт. Текст в таблице – 12 пт. Межстрочный интервал – одинарный, абзац – 1,25 см, без расстановки переносов. </w:t>
      </w:r>
    </w:p>
    <w:p w14:paraId="29CA6DBD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 xml:space="preserve">Порядковый номер таблицы пишется курсивом сверху с выравниванием по правому краю (напр., </w:t>
      </w:r>
      <w:r w:rsidRPr="002E1E96">
        <w:rPr>
          <w:rFonts w:ascii="Times New Roman" w:hAnsi="Times New Roman"/>
          <w:i/>
          <w:sz w:val="24"/>
          <w:szCs w:val="24"/>
        </w:rPr>
        <w:t>Таблица 1, Таблица 2…</w:t>
      </w:r>
      <w:r w:rsidRPr="002E1E96">
        <w:rPr>
          <w:rFonts w:ascii="Times New Roman" w:hAnsi="Times New Roman"/>
          <w:sz w:val="24"/>
          <w:szCs w:val="24"/>
        </w:rPr>
        <w:t>); размер шрифта – 14 пт. Ниже пишется название таблицы: выравнивание по центру, строчные буквы, без выделения. Подписи к</w:t>
      </w:r>
      <w:r>
        <w:rPr>
          <w:rFonts w:ascii="Times New Roman" w:hAnsi="Times New Roman"/>
          <w:sz w:val="24"/>
          <w:szCs w:val="24"/>
        </w:rPr>
        <w:t> </w:t>
      </w:r>
      <w:r w:rsidRPr="002E1E96">
        <w:rPr>
          <w:rFonts w:ascii="Times New Roman" w:hAnsi="Times New Roman"/>
          <w:sz w:val="24"/>
          <w:szCs w:val="24"/>
        </w:rPr>
        <w:t xml:space="preserve">иллюстрациям (рисунки, графики, диаграммы) – курсивом (напр., </w:t>
      </w:r>
      <w:r w:rsidRPr="002E1E96">
        <w:rPr>
          <w:rFonts w:ascii="Times New Roman" w:hAnsi="Times New Roman"/>
          <w:i/>
          <w:sz w:val="24"/>
          <w:szCs w:val="24"/>
        </w:rPr>
        <w:t>Рис. 1. Модель …</w:t>
      </w:r>
      <w:r w:rsidRPr="002E1E96">
        <w:rPr>
          <w:rFonts w:ascii="Times New Roman" w:hAnsi="Times New Roman"/>
          <w:sz w:val="24"/>
          <w:szCs w:val="24"/>
        </w:rPr>
        <w:t>). Ссылка на источник помещается в квадратных скобках курсивом под таблицей и после названия рисунка. Если иллюстрация или таблица выполнен</w:t>
      </w:r>
      <w:r>
        <w:rPr>
          <w:rFonts w:ascii="Times New Roman" w:hAnsi="Times New Roman"/>
          <w:sz w:val="24"/>
          <w:szCs w:val="24"/>
        </w:rPr>
        <w:t>а</w:t>
      </w:r>
      <w:r w:rsidRPr="002E1E96">
        <w:rPr>
          <w:rFonts w:ascii="Times New Roman" w:hAnsi="Times New Roman"/>
          <w:sz w:val="24"/>
          <w:szCs w:val="24"/>
        </w:rPr>
        <w:t xml:space="preserve"> автором, пишется: </w:t>
      </w:r>
      <w:r w:rsidRPr="002E1E96">
        <w:rPr>
          <w:rFonts w:ascii="Times New Roman" w:hAnsi="Times New Roman"/>
          <w:i/>
          <w:sz w:val="24"/>
          <w:szCs w:val="24"/>
        </w:rPr>
        <w:t>Сост. авт.</w:t>
      </w:r>
      <w:r w:rsidRPr="002E1E96">
        <w:rPr>
          <w:rFonts w:ascii="Times New Roman" w:hAnsi="Times New Roman"/>
          <w:sz w:val="24"/>
          <w:szCs w:val="24"/>
        </w:rPr>
        <w:t xml:space="preserve"> («Составлено автором»). Если иллюстрация сделана автором на основе какого-либо источника: «</w:t>
      </w:r>
      <w:r w:rsidRPr="002E1E96">
        <w:rPr>
          <w:rFonts w:ascii="Times New Roman" w:hAnsi="Times New Roman"/>
          <w:i/>
          <w:sz w:val="24"/>
          <w:szCs w:val="24"/>
        </w:rPr>
        <w:t>Сост. авт. по: [4]</w:t>
      </w:r>
      <w:r w:rsidRPr="002E1E96">
        <w:rPr>
          <w:rFonts w:ascii="Times New Roman" w:hAnsi="Times New Roman"/>
          <w:sz w:val="24"/>
          <w:szCs w:val="24"/>
        </w:rPr>
        <w:t>», где [4] – порядковый номер источника в списке литературы.</w:t>
      </w:r>
    </w:p>
    <w:p w14:paraId="55E0AA39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 xml:space="preserve">Иллюстрации помещаются в текст статьи, разрешение не менее 300 </w:t>
      </w:r>
      <w:proofErr w:type="spellStart"/>
      <w:r w:rsidRPr="002E1E96">
        <w:rPr>
          <w:rFonts w:ascii="Times New Roman" w:hAnsi="Times New Roman"/>
          <w:sz w:val="24"/>
          <w:szCs w:val="24"/>
        </w:rPr>
        <w:t>dpi</w:t>
      </w:r>
      <w:proofErr w:type="spellEnd"/>
      <w:r w:rsidRPr="002E1E96">
        <w:rPr>
          <w:rFonts w:ascii="Times New Roman" w:hAnsi="Times New Roman"/>
          <w:sz w:val="24"/>
          <w:szCs w:val="24"/>
        </w:rPr>
        <w:t>.</w:t>
      </w:r>
    </w:p>
    <w:p w14:paraId="26EF4040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После названия статьи, перед аннотацией, началом текста и списком литературы</w:t>
      </w:r>
      <w:r>
        <w:rPr>
          <w:rFonts w:ascii="Times New Roman" w:hAnsi="Times New Roman"/>
          <w:sz w:val="24"/>
          <w:szCs w:val="24"/>
        </w:rPr>
        <w:t> </w:t>
      </w:r>
      <w:r w:rsidRPr="002E1E96">
        <w:rPr>
          <w:rFonts w:ascii="Times New Roman" w:hAnsi="Times New Roman"/>
          <w:sz w:val="24"/>
          <w:szCs w:val="24"/>
        </w:rPr>
        <w:t xml:space="preserve">– интервал в одну строку. </w:t>
      </w:r>
    </w:p>
    <w:p w14:paraId="43808E2C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Ссылки на литературу в квадратных скобках. Список литературы и источников формируется строго по алфавиту, нумерация автоматическая. В источнике обязательно указывается: фамилия и инициалы автора, название произведения, сведения о переиздании (при наличии), место издания, издательство, год издания, количество страниц. Элементы описания отделяются знаком «точка». При прямом цитировании в тексте указывается номер страницы издания, откуда взята цитата, например, [4, с. 5-6]) или прямая ссылка на Интернет-источник с открытым доступом. Оформление электронных ресурсов представлено в примере Приложении 3.</w:t>
      </w:r>
    </w:p>
    <w:p w14:paraId="35DB0D4B" w14:textId="77777777" w:rsidR="000C235F" w:rsidRPr="002E1E96" w:rsidRDefault="000C235F" w:rsidP="000C23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 xml:space="preserve">Страницы текста не нумеруются. Приложения недопустимы. Использование в тексте </w:t>
      </w:r>
      <w:r>
        <w:rPr>
          <w:rFonts w:ascii="Times New Roman" w:hAnsi="Times New Roman"/>
          <w:sz w:val="24"/>
          <w:szCs w:val="24"/>
        </w:rPr>
        <w:t xml:space="preserve">немецких </w:t>
      </w:r>
      <w:r w:rsidRPr="002E1E96">
        <w:rPr>
          <w:rFonts w:ascii="Times New Roman" w:hAnsi="Times New Roman"/>
          <w:sz w:val="24"/>
          <w:szCs w:val="24"/>
        </w:rPr>
        <w:t xml:space="preserve">кавычек-лапок </w:t>
      </w:r>
      <w:r w:rsidRPr="0020568E">
        <w:rPr>
          <w:rFonts w:ascii="Times New Roman" w:hAnsi="Times New Roman"/>
          <w:sz w:val="24"/>
          <w:szCs w:val="24"/>
        </w:rPr>
        <w:t>„“</w:t>
      </w:r>
      <w:r w:rsidRPr="002E1E96">
        <w:rPr>
          <w:rFonts w:ascii="Times New Roman" w:hAnsi="Times New Roman"/>
          <w:sz w:val="24"/>
          <w:szCs w:val="24"/>
        </w:rPr>
        <w:t xml:space="preserve"> допускается в том случае, если в цитируемом фрагменте какое-либо слово или словосочетание необходимо взять в кавычки. В остальных случаях используются кавычки-ёлочки «». В описаниях топонимических исследований возможно использование </w:t>
      </w:r>
      <w:proofErr w:type="spellStart"/>
      <w:r w:rsidRPr="002E1E96">
        <w:rPr>
          <w:rFonts w:ascii="Times New Roman" w:hAnsi="Times New Roman"/>
          <w:sz w:val="24"/>
          <w:szCs w:val="24"/>
        </w:rPr>
        <w:t>марровских</w:t>
      </w:r>
      <w:proofErr w:type="spellEnd"/>
      <w:r w:rsidRPr="002E1E96">
        <w:rPr>
          <w:rFonts w:ascii="Times New Roman" w:hAnsi="Times New Roman"/>
          <w:sz w:val="24"/>
          <w:szCs w:val="24"/>
        </w:rPr>
        <w:t xml:space="preserve"> одиночных кавычек ‘’.</w:t>
      </w:r>
    </w:p>
    <w:p w14:paraId="2F99D1E2" w14:textId="77777777" w:rsidR="000C235F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Текст статьи должен соотв</w:t>
      </w:r>
      <w:r>
        <w:rPr>
          <w:rFonts w:ascii="Times New Roman" w:hAnsi="Times New Roman"/>
          <w:sz w:val="24"/>
          <w:szCs w:val="24"/>
        </w:rPr>
        <w:t>етствовать названию публикации,</w:t>
      </w:r>
      <w:r w:rsidRPr="002E1E96">
        <w:rPr>
          <w:rFonts w:ascii="Times New Roman" w:hAnsi="Times New Roman"/>
          <w:sz w:val="24"/>
          <w:szCs w:val="24"/>
        </w:rPr>
        <w:t xml:space="preserve"> содержать результаты исследований в походах, экспедициях, проектах и пр.,</w:t>
      </w:r>
      <w:r>
        <w:rPr>
          <w:rFonts w:ascii="Times New Roman" w:hAnsi="Times New Roman"/>
          <w:sz w:val="24"/>
          <w:szCs w:val="24"/>
        </w:rPr>
        <w:t xml:space="preserve"> практические предложения и </w:t>
      </w:r>
      <w:r w:rsidRPr="002E1E96">
        <w:rPr>
          <w:rFonts w:ascii="Times New Roman" w:hAnsi="Times New Roman"/>
          <w:sz w:val="24"/>
          <w:szCs w:val="24"/>
        </w:rPr>
        <w:t>рекомендации, технологические карты экскурсионных маршрутов и оценку туристских ресурсов выбранного региона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2A9">
        <w:rPr>
          <w:rFonts w:ascii="Times New Roman" w:hAnsi="Times New Roman"/>
          <w:sz w:val="24"/>
          <w:szCs w:val="24"/>
        </w:rPr>
        <w:t>с позиции их использования в школьном и студенческом познавательном туризме,</w:t>
      </w:r>
      <w:r w:rsidRPr="002E1E96">
        <w:rPr>
          <w:rFonts w:ascii="Times New Roman" w:hAnsi="Times New Roman"/>
          <w:sz w:val="24"/>
          <w:szCs w:val="24"/>
        </w:rPr>
        <w:t xml:space="preserve"> раскрывать методику и формы историко-краеведческой работы и др. </w:t>
      </w:r>
    </w:p>
    <w:p w14:paraId="3B15AA90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lastRenderedPageBreak/>
        <w:t>Тема статьи должна соответствовать нап</w:t>
      </w:r>
      <w:r>
        <w:rPr>
          <w:rFonts w:ascii="Times New Roman" w:hAnsi="Times New Roman"/>
          <w:sz w:val="24"/>
          <w:szCs w:val="24"/>
        </w:rPr>
        <w:t>равлениям работы К</w:t>
      </w:r>
      <w:r w:rsidRPr="002E1E96">
        <w:rPr>
          <w:rFonts w:ascii="Times New Roman" w:hAnsi="Times New Roman"/>
          <w:sz w:val="24"/>
          <w:szCs w:val="24"/>
        </w:rPr>
        <w:t xml:space="preserve">онференции и должна быть указана в заявке. </w:t>
      </w:r>
      <w:r w:rsidRPr="005308A7">
        <w:rPr>
          <w:rFonts w:ascii="Times New Roman" w:hAnsi="Times New Roman"/>
          <w:sz w:val="24"/>
          <w:szCs w:val="24"/>
        </w:rPr>
        <w:t xml:space="preserve">Оргкомитет </w:t>
      </w:r>
      <w:r>
        <w:rPr>
          <w:rFonts w:ascii="Times New Roman" w:hAnsi="Times New Roman"/>
          <w:sz w:val="24"/>
          <w:szCs w:val="24"/>
        </w:rPr>
        <w:t>К</w:t>
      </w:r>
      <w:r w:rsidRPr="005308A7">
        <w:rPr>
          <w:rFonts w:ascii="Times New Roman" w:hAnsi="Times New Roman"/>
          <w:sz w:val="24"/>
          <w:szCs w:val="24"/>
        </w:rPr>
        <w:t xml:space="preserve">онференции вправе </w:t>
      </w:r>
      <w:r>
        <w:rPr>
          <w:rFonts w:ascii="Times New Roman" w:hAnsi="Times New Roman"/>
          <w:sz w:val="24"/>
          <w:szCs w:val="24"/>
        </w:rPr>
        <w:t>определять допущенные к </w:t>
      </w:r>
      <w:r w:rsidRPr="005308A7">
        <w:rPr>
          <w:rFonts w:ascii="Times New Roman" w:hAnsi="Times New Roman"/>
          <w:sz w:val="24"/>
          <w:szCs w:val="24"/>
        </w:rPr>
        <w:t xml:space="preserve">публикации материалы </w:t>
      </w:r>
      <w:r>
        <w:rPr>
          <w:rFonts w:ascii="Times New Roman" w:hAnsi="Times New Roman"/>
          <w:sz w:val="24"/>
          <w:szCs w:val="24"/>
        </w:rPr>
        <w:t>в номинации, отличные от указанных авторами в заявках</w:t>
      </w:r>
      <w:r w:rsidRPr="005308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3D1986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Названия статей и устных докладов должны быть одинаковыми. Если планируется опубликовать статью по одной теме, но выступить по другой</w:t>
      </w:r>
      <w:r>
        <w:rPr>
          <w:rFonts w:ascii="Times New Roman" w:hAnsi="Times New Roman"/>
          <w:sz w:val="24"/>
          <w:szCs w:val="24"/>
        </w:rPr>
        <w:t>,</w:t>
      </w:r>
      <w:r w:rsidRPr="002E1E96">
        <w:rPr>
          <w:rFonts w:ascii="Times New Roman" w:hAnsi="Times New Roman"/>
          <w:sz w:val="24"/>
          <w:szCs w:val="24"/>
        </w:rPr>
        <w:t xml:space="preserve"> – направляются отдельные заявки на публикацию и на выступление с докладом. Статья и устный доклад – разные формы представления исследования. Даже в случае </w:t>
      </w:r>
      <w:r>
        <w:rPr>
          <w:rFonts w:ascii="Times New Roman" w:hAnsi="Times New Roman"/>
          <w:sz w:val="24"/>
          <w:szCs w:val="24"/>
        </w:rPr>
        <w:t>успешной презентации доклада на К</w:t>
      </w:r>
      <w:r w:rsidRPr="002E1E96">
        <w:rPr>
          <w:rFonts w:ascii="Times New Roman" w:hAnsi="Times New Roman"/>
          <w:sz w:val="24"/>
          <w:szCs w:val="24"/>
        </w:rPr>
        <w:t xml:space="preserve">онференции автору может быть отказано в публикации по решению оргкомитета. </w:t>
      </w:r>
    </w:p>
    <w:p w14:paraId="480900E5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Текст статьи должен быть написан в соответствии с нормами русского языка, логично и последовательно отражать результаты исследований, соответствовать научному стилю написания с использованием профессиональной терминологии. В аннотации не должен повторяться текст самой статьи, а также ее название. В ней не должно быть цифр, таблиц, сносок и ссылок. В аннотации должны излагаться существенные факты исследования.</w:t>
      </w:r>
    </w:p>
    <w:p w14:paraId="1C743B84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Ключевые слова выражают основное смысловое содержание статьи, служат ориентиром для читателя и используются для поиска статей в электронных базах. Размещаются после аннотации в количестве 4–8 слов, отражают дисциплину.</w:t>
      </w:r>
    </w:p>
    <w:p w14:paraId="321C0721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 xml:space="preserve">Ссылка на первоначальные источники помогает подчеркнуть оригинальность собственной работы автора. Основным требованием к приводимым в научной работе источникам является их авторитетность и соответствие исследуемой тематике. </w:t>
      </w:r>
      <w:r>
        <w:rPr>
          <w:rFonts w:ascii="Times New Roman" w:hAnsi="Times New Roman"/>
          <w:sz w:val="24"/>
          <w:szCs w:val="24"/>
        </w:rPr>
        <w:t>Необоснованное и</w:t>
      </w:r>
      <w:r w:rsidRPr="00CD3DBB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ользование большого количества</w:t>
      </w:r>
      <w:r w:rsidRPr="00CD3DBB">
        <w:rPr>
          <w:rFonts w:ascii="Times New Roman" w:hAnsi="Times New Roman"/>
          <w:sz w:val="24"/>
          <w:szCs w:val="24"/>
        </w:rPr>
        <w:t xml:space="preserve"> источников</w:t>
      </w:r>
      <w:r>
        <w:rPr>
          <w:rFonts w:ascii="Times New Roman" w:hAnsi="Times New Roman"/>
          <w:sz w:val="24"/>
          <w:szCs w:val="24"/>
        </w:rPr>
        <w:t xml:space="preserve"> недопустимо. Общеизвестные факты и термины не нуждаются в оформлении ссылки на них.</w:t>
      </w:r>
    </w:p>
    <w:p w14:paraId="784A3E19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Ранее опубликованные исследования автора могут являться источником цитаты. Однако необходимо помнить, что цитирование собственн</w:t>
      </w:r>
      <w:r>
        <w:rPr>
          <w:rFonts w:ascii="Times New Roman" w:hAnsi="Times New Roman"/>
          <w:sz w:val="24"/>
          <w:szCs w:val="24"/>
        </w:rPr>
        <w:t>ых работ должно быть уместным и </w:t>
      </w:r>
      <w:r w:rsidRPr="002E1E96">
        <w:rPr>
          <w:rFonts w:ascii="Times New Roman" w:hAnsi="Times New Roman"/>
          <w:sz w:val="24"/>
          <w:szCs w:val="24"/>
        </w:rPr>
        <w:t xml:space="preserve">обоснованным, дополнять научную работу и следовать ее задачам. Индекс </w:t>
      </w:r>
      <w:proofErr w:type="spellStart"/>
      <w:r w:rsidRPr="002E1E96">
        <w:rPr>
          <w:rFonts w:ascii="Times New Roman" w:hAnsi="Times New Roman"/>
          <w:sz w:val="24"/>
          <w:szCs w:val="24"/>
        </w:rPr>
        <w:t>самоцитирования</w:t>
      </w:r>
      <w:proofErr w:type="spellEnd"/>
      <w:r w:rsidRPr="002E1E96">
        <w:rPr>
          <w:rFonts w:ascii="Times New Roman" w:hAnsi="Times New Roman"/>
          <w:sz w:val="24"/>
          <w:szCs w:val="24"/>
        </w:rPr>
        <w:t xml:space="preserve"> не должен превышать 25%.</w:t>
      </w:r>
    </w:p>
    <w:p w14:paraId="533D3F5D" w14:textId="77777777" w:rsidR="000C235F" w:rsidRPr="002E1E96" w:rsidRDefault="000C235F" w:rsidP="000C235F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t>Авторы статьи должны гарантировать, что они представили</w:t>
      </w:r>
      <w:r>
        <w:rPr>
          <w:rFonts w:ascii="Times New Roman" w:hAnsi="Times New Roman"/>
          <w:sz w:val="24"/>
          <w:szCs w:val="24"/>
        </w:rPr>
        <w:t xml:space="preserve"> оригинальную работу и </w:t>
      </w:r>
      <w:r w:rsidRPr="002E1E96">
        <w:rPr>
          <w:rFonts w:ascii="Times New Roman" w:hAnsi="Times New Roman"/>
          <w:sz w:val="24"/>
          <w:szCs w:val="24"/>
        </w:rPr>
        <w:t>не публиковали ее в других изданиях. Если авторы использовали работу и/или слова других авторов, это должно быть соответствующим образом отмечено сс</w:t>
      </w:r>
      <w:r>
        <w:rPr>
          <w:rFonts w:ascii="Times New Roman" w:hAnsi="Times New Roman"/>
          <w:sz w:val="24"/>
          <w:szCs w:val="24"/>
        </w:rPr>
        <w:t>ылкой или указано в </w:t>
      </w:r>
      <w:r w:rsidRPr="002E1E96">
        <w:rPr>
          <w:rFonts w:ascii="Times New Roman" w:hAnsi="Times New Roman"/>
          <w:sz w:val="24"/>
          <w:szCs w:val="24"/>
        </w:rPr>
        <w:t>тексте. Все тексты статей будут проверены на уникальность в системе «</w:t>
      </w:r>
      <w:proofErr w:type="spellStart"/>
      <w:r w:rsidRPr="002E1E96">
        <w:rPr>
          <w:rFonts w:ascii="Times New Roman" w:hAnsi="Times New Roman"/>
          <w:sz w:val="24"/>
          <w:szCs w:val="24"/>
        </w:rPr>
        <w:t>Руконтекст</w:t>
      </w:r>
      <w:proofErr w:type="spellEnd"/>
      <w:r w:rsidRPr="002E1E96">
        <w:rPr>
          <w:rFonts w:ascii="Times New Roman" w:hAnsi="Times New Roman"/>
          <w:sz w:val="24"/>
          <w:szCs w:val="24"/>
        </w:rPr>
        <w:t>». Уровень оригинальности текста должен быть не менее 70%.</w:t>
      </w:r>
    </w:p>
    <w:p w14:paraId="2D0C5E7F" w14:textId="0282C491" w:rsidR="000C235F" w:rsidRDefault="000C235F"/>
    <w:p w14:paraId="6DBBA692" w14:textId="77777777" w:rsidR="000C235F" w:rsidRDefault="000C235F">
      <w:r>
        <w:br w:type="page"/>
      </w:r>
    </w:p>
    <w:p w14:paraId="52F21C36" w14:textId="77777777" w:rsidR="000C235F" w:rsidRPr="002E1E96" w:rsidRDefault="000C235F" w:rsidP="000C235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2E1E9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2D31270C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1E96">
        <w:rPr>
          <w:rFonts w:ascii="Times New Roman" w:hAnsi="Times New Roman"/>
          <w:b/>
          <w:i/>
          <w:sz w:val="24"/>
          <w:szCs w:val="24"/>
        </w:rPr>
        <w:t xml:space="preserve">Пример оформления текста публикации </w:t>
      </w:r>
    </w:p>
    <w:p w14:paraId="51B3D29F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A400BD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1E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СТАТЬИ</w:t>
      </w:r>
    </w:p>
    <w:p w14:paraId="00BD50D8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D31D72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 И. Иванов*</w:t>
      </w:r>
    </w:p>
    <w:p w14:paraId="331D9A59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Научный руководитель – А. И. Иванова**</w:t>
      </w:r>
    </w:p>
    <w:p w14:paraId="11B717FC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Научный консультант – В. С. Иванова***</w:t>
      </w:r>
    </w:p>
    <w:p w14:paraId="381FD53F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ГБУДО Дворец творчества детей и молодежи </w:t>
      </w: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br/>
        <w:t>Колпинского района Санкт-Петербурга</w:t>
      </w: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Россия</w:t>
      </w:r>
    </w:p>
    <w:p w14:paraId="38449C4B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e-mail: *</w:t>
      </w:r>
      <w:proofErr w:type="spellStart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</w:t>
      </w:r>
      <w:proofErr w:type="spellEnd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@…ru, **</w:t>
      </w:r>
      <w:proofErr w:type="spellStart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aivanova</w:t>
      </w:r>
      <w:proofErr w:type="spellEnd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@...ru, ***vivanona@...ru</w:t>
      </w:r>
    </w:p>
    <w:p w14:paraId="3B2CAAE2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3BA47E70" w14:textId="77777777" w:rsidR="000C235F" w:rsidRPr="002E1E96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1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</w:t>
      </w:r>
      <w:r w:rsidRPr="002E1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0935C77" w14:textId="77777777" w:rsidR="000C235F" w:rsidRPr="002E1E96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Ключевые </w:t>
      </w:r>
      <w:r w:rsidRPr="002E1E96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слова</w:t>
      </w:r>
      <w:r w:rsidRPr="002E1E9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4–8</w:t>
      </w:r>
      <w:r w:rsidRPr="002E1E9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слов через запятую.</w:t>
      </w:r>
    </w:p>
    <w:p w14:paraId="204F098A" w14:textId="77777777" w:rsidR="000C235F" w:rsidRPr="002E1E96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14:paraId="132DB17A" w14:textId="77777777" w:rsidR="000C235F" w:rsidRPr="002E1E96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 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6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. Текст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: «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» 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4, с. 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50-51]. </w:t>
      </w:r>
    </w:p>
    <w:p w14:paraId="5AFE4D97" w14:textId="77777777" w:rsidR="000C235F" w:rsidRPr="002E1E96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(рис. 1.)</w:t>
      </w:r>
    </w:p>
    <w:p w14:paraId="68F38381" w14:textId="77777777" w:rsidR="000C235F" w:rsidRPr="00387624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14:paraId="6108CA0C" w14:textId="77777777" w:rsidR="000C235F" w:rsidRPr="002E1E96" w:rsidRDefault="000C235F" w:rsidP="000C235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noProof/>
          <w:color w:val="000000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2963A6" wp14:editId="57E08995">
                <wp:extent cx="2915285" cy="2377440"/>
                <wp:effectExtent l="0" t="0" r="18415" b="2286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23774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66ECF" id="Прямоугольник 1" o:spid="_x0000_s1026" style="width:229.55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" fillcolor="white [3201]" strokecolor="black [3200]">
                <w10:anchorlock/>
              </v:rect>
            </w:pict>
          </mc:Fallback>
        </mc:AlternateContent>
      </w:r>
    </w:p>
    <w:p w14:paraId="293C1490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Рис. 1. Название рисунка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]</w:t>
      </w:r>
    </w:p>
    <w:p w14:paraId="00EDA8DD" w14:textId="77777777" w:rsidR="000C235F" w:rsidRPr="002E1E96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14:paraId="3873E3E1" w14:textId="77777777" w:rsidR="000C235F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(табл. 1).</w:t>
      </w:r>
    </w:p>
    <w:p w14:paraId="50F9EE0E" w14:textId="77777777" w:rsidR="000C235F" w:rsidRPr="00387624" w:rsidRDefault="000C235F" w:rsidP="000C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14:paraId="1F2E60AF" w14:textId="77777777" w:rsidR="000C235F" w:rsidRPr="002E1E96" w:rsidRDefault="000C235F" w:rsidP="000C235F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  <w:t>Таблица 1</w:t>
      </w:r>
    </w:p>
    <w:p w14:paraId="513FEBFF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Название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235F" w:rsidRPr="002E1E96" w14:paraId="328664B5" w14:textId="77777777" w:rsidTr="003374DE">
        <w:tc>
          <w:tcPr>
            <w:tcW w:w="3190" w:type="dxa"/>
          </w:tcPr>
          <w:p w14:paraId="1C4D67FC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14:paraId="609AF9EC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14:paraId="3472C899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0C235F" w:rsidRPr="002E1E96" w14:paraId="06916C1B" w14:textId="77777777" w:rsidTr="003374DE">
        <w:tc>
          <w:tcPr>
            <w:tcW w:w="3190" w:type="dxa"/>
          </w:tcPr>
          <w:p w14:paraId="68D24666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14:paraId="65E39E4E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14:paraId="683CFBB6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</w:tr>
      <w:tr w:rsidR="000C235F" w:rsidRPr="002E1E96" w14:paraId="57419A41" w14:textId="77777777" w:rsidTr="003374DE">
        <w:tc>
          <w:tcPr>
            <w:tcW w:w="3190" w:type="dxa"/>
          </w:tcPr>
          <w:p w14:paraId="13ED0C5F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14:paraId="080053B5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14:paraId="0F980D44" w14:textId="77777777" w:rsidR="000C235F" w:rsidRPr="002E1E96" w:rsidRDefault="000C235F" w:rsidP="003374DE">
            <w:pPr>
              <w:jc w:val="center"/>
              <w:rPr>
                <w:rFonts w:ascii="Times New Roman" w:eastAsia="Times New Roman" w:hAnsi="Times New Roman"/>
                <w:spacing w:val="2"/>
                <w:shd w:val="clear" w:color="auto" w:fill="FFFFFF"/>
                <w:lang w:eastAsia="ru-RU"/>
              </w:rPr>
            </w:pPr>
          </w:p>
        </w:tc>
      </w:tr>
    </w:tbl>
    <w:p w14:paraId="0AC7A46E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Сост. авт. по: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[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]</w:t>
      </w:r>
    </w:p>
    <w:p w14:paraId="27FBCA42" w14:textId="77777777" w:rsidR="000C235F" w:rsidRPr="00A01092" w:rsidRDefault="000C235F" w:rsidP="000C235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18B0598" w14:textId="77777777" w:rsidR="000C235F" w:rsidRPr="002E1E96" w:rsidRDefault="000C235F" w:rsidP="000C235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2E1E9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14:paraId="4D6253DC" w14:textId="77777777" w:rsidR="000C235F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 И. Иванова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коренным жителем г. п.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Мга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МО Кировского муниципального района Ленинградской области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Соловьевым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1937 г. р.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lastRenderedPageBreak/>
        <w:t>от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18.1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1 г.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[текст стенограммы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беседы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] // Частное собрание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И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Иванова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Публикуется с согласия 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Соловьева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3 с.</w:t>
      </w:r>
    </w:p>
    <w:p w14:paraId="50380F3D" w14:textId="77777777" w:rsidR="000C235F" w:rsidRPr="00AF3D38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обучающихся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ГБУДО Дворца творчества детей и молодежи Колпинского района Санкт-Петербурга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 И. Иванова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и 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Смирновой с ветераном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Великой Отечественной войны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4D1B7E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Петр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ом</w:t>
      </w:r>
      <w:r w:rsidRPr="004D1B7E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Тимофеевич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ем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Какаевым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1927 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р. от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07.01.2020 г. [а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удиозапись беседы] // </w:t>
      </w:r>
      <w:r w:rsidRPr="004D1B7E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Музей истории земли Ижорской и города Колпино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ГБУДО Дворца творчества детей и молодежи Колпинского района Санкт-Петербурга. Ф-1. Оп. 3. Инв. № 24. 1 ч.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23 мин. Публикуется с согласия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Т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Какаева</w:t>
      </w:r>
      <w:proofErr w:type="spellEnd"/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14:paraId="11AD872E" w14:textId="77777777" w:rsidR="000C235F" w:rsidRPr="007A6C96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Блокада Ленинграда </w:t>
      </w:r>
      <w:r w:rsidRPr="00505FD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//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История России в фотографиях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[Электронный ресурс].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05FD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https://m.russiainphoto.ru/exhibitions/1028/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(дата обращения: 21.1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1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.2021).</w:t>
      </w:r>
    </w:p>
    <w:p w14:paraId="4927B864" w14:textId="77777777" w:rsidR="000C235F" w:rsidRPr="002E1E96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Магаева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С. В. Дети блокадного Ленинграда. М.: Классика, 2014. 357 с.</w:t>
      </w:r>
    </w:p>
    <w:p w14:paraId="13D9B583" w14:textId="77777777" w:rsidR="000C235F" w:rsidRPr="002E1E96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Милютинская С. О детских садах во время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(дата обращения: 21.10.2021).</w:t>
      </w:r>
    </w:p>
    <w:p w14:paraId="22152C9F" w14:textId="77777777" w:rsidR="000C235F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Паперно И. «Осада человека»: блокадные записки Ольги Фрейденберг в антропологической перспективе // Блокадные нарративы: сб. статей / ред. и сост. П. Барскова, Р. 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Николози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М.: Новое литературное обозрение, 2017. С. 126–151.</w:t>
      </w:r>
    </w:p>
    <w:p w14:paraId="215D94EC" w14:textId="77777777" w:rsidR="000C235F" w:rsidRPr="007A6C96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Приказ №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22 по Ленинградскому Дворцу пионеров от 20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июня 1942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 // Центральный государственный архив историко-политических документов Санкт-Петербурга (ЦГАИПД СПБ). Ф.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9523. Оп.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 Д.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50. Л.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25, 26.</w:t>
      </w:r>
    </w:p>
    <w:p w14:paraId="1E26EE50" w14:textId="77777777" w:rsidR="000C235F" w:rsidRPr="002E1E96" w:rsidRDefault="000C235F" w:rsidP="000C23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Соболев Г. Л. Блокада Ленинграда: от новых источников к новому пониманию //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Новейшая история России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2012. № 3 (5). URL: https://cyberleninka.ru/article/n/blokada-leningrada-ot-novyh-istochnikov-k-novomu-ponimaniyu (дата обращения: 23.09.2021).</w:t>
      </w:r>
    </w:p>
    <w:p w14:paraId="2A9A74E2" w14:textId="6E2AA2DE" w:rsidR="00BA4EDA" w:rsidRDefault="00BA4EDA" w:rsidP="000C235F"/>
    <w:sectPr w:rsidR="00BA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2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22"/>
    <w:rsid w:val="000C235F"/>
    <w:rsid w:val="00514322"/>
    <w:rsid w:val="009D7F17"/>
    <w:rsid w:val="00B2291D"/>
    <w:rsid w:val="00B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040C"/>
  <w15:chartTrackingRefBased/>
  <w15:docId w15:val="{E5BE94FA-6EFB-46A5-9A4F-6A8A841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35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5F"/>
    <w:pPr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2024-12-04T10:57:00Z</dcterms:created>
  <dcterms:modified xsi:type="dcterms:W3CDTF">2024-12-04T11:03:00Z</dcterms:modified>
</cp:coreProperties>
</file>